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115" w:type="dxa"/>
          <w:right w:w="720" w:type="dxa"/>
        </w:tblCellMar>
        <w:tblLook w:val="0000" w:firstRow="0" w:lastRow="0" w:firstColumn="0" w:lastColumn="0" w:noHBand="0" w:noVBand="0"/>
      </w:tblPr>
      <w:tblGrid>
        <w:gridCol w:w="6409"/>
        <w:gridCol w:w="4391"/>
      </w:tblGrid>
      <w:tr w:rsidR="00811B47" w:rsidRPr="00151145" w14:paraId="461AC5A4" w14:textId="77777777" w:rsidTr="00B54843">
        <w:trPr>
          <w:trHeight w:val="2304"/>
        </w:trPr>
        <w:tc>
          <w:tcPr>
            <w:tcW w:w="2967" w:type="pct"/>
          </w:tcPr>
          <w:p w14:paraId="5B6D623B" w14:textId="77777777" w:rsidR="00515218" w:rsidRPr="00151145" w:rsidRDefault="00151145" w:rsidP="00151145">
            <w:pPr>
              <w:pStyle w:val="Heading1"/>
              <w:rPr>
                <w:rFonts w:ascii="BrowalliaUPC" w:hAnsi="BrowalliaUPC" w:cs="BrowalliaUPC"/>
                <w:b/>
                <w:sz w:val="52"/>
              </w:rPr>
            </w:pPr>
            <w:r w:rsidRPr="00151145">
              <w:rPr>
                <w:rFonts w:ascii="BrowalliaUPC" w:hAnsi="BrowalliaUPC" w:cs="BrowalliaUPC" w:hint="cs"/>
                <w:b/>
                <w:sz w:val="52"/>
              </w:rPr>
              <w:t>Ann Land and Bertha Henschel Memorial Fund Commission</w:t>
            </w:r>
          </w:p>
          <w:p w14:paraId="0E5E5F48" w14:textId="77777777" w:rsidR="00151145" w:rsidRPr="00151145" w:rsidRDefault="00151145" w:rsidP="00151145">
            <w:pPr>
              <w:pStyle w:val="Heading2"/>
              <w:rPr>
                <w:rFonts w:ascii="BrowalliaUPC" w:hAnsi="BrowalliaUPC" w:cs="BrowalliaUPC"/>
              </w:rPr>
            </w:pPr>
            <w:r w:rsidRPr="00151145">
              <w:rPr>
                <w:rFonts w:ascii="BrowalliaUPC" w:hAnsi="BrowalliaUPC" w:cs="BrowalliaUPC" w:hint="cs"/>
                <w:sz w:val="32"/>
              </w:rPr>
              <w:t>Commission Priorities</w:t>
            </w:r>
          </w:p>
        </w:tc>
        <w:tc>
          <w:tcPr>
            <w:tcW w:w="2033" w:type="pct"/>
            <w:vAlign w:val="center"/>
          </w:tcPr>
          <w:p w14:paraId="557A0B92" w14:textId="77777777" w:rsidR="005D4441" w:rsidRPr="00B3390A" w:rsidRDefault="00192B5B" w:rsidP="00811B47">
            <w:pPr>
              <w:jc w:val="center"/>
              <w:rPr>
                <w:rFonts w:ascii="BrowalliaUPC" w:hAnsi="BrowalliaUPC" w:cs="BrowalliaUPC"/>
                <w:i/>
                <w:sz w:val="28"/>
              </w:rPr>
            </w:pPr>
            <w:r w:rsidRPr="00B3390A">
              <w:rPr>
                <w:rFonts w:ascii="BrowalliaUPC" w:hAnsi="BrowalliaUPC" w:cs="BrowalliaUPC"/>
                <w:i/>
                <w:sz w:val="28"/>
              </w:rPr>
              <w:t>It is the purpose of the Ann Land and Bertha Henschel Memorial Fund Commission to assist the destitute men, women, and children of the City of Sacramento.</w:t>
            </w:r>
          </w:p>
        </w:tc>
      </w:tr>
    </w:tbl>
    <w:p w14:paraId="4B9372DC" w14:textId="77777777" w:rsidR="009B3EC1" w:rsidRPr="009B3EC1" w:rsidRDefault="009B3EC1" w:rsidP="009B3EC1">
      <w:pPr>
        <w:rPr>
          <w:rFonts w:ascii="Arial Narrow" w:hAnsi="Arial Narrow" w:cs="BrowalliaUPC"/>
          <w:noProof/>
        </w:rPr>
      </w:pPr>
      <w:r w:rsidRPr="009B3EC1">
        <w:rPr>
          <w:rFonts w:ascii="Arial Narrow" w:hAnsi="Arial Narrow" w:cs="BrowalliaUPC"/>
          <w:noProof/>
        </w:rPr>
        <w:t xml:space="preserve">The Ann Land and Bertha Henschel Memorial Fund Commission (“Commission”) establishes an ongoing strategic planning process by which it translates its purpose and values into actionable and measurable priorities for its support of Sacramento residents. This document outlines long-term strategic priorities for the Commission as well as the process by which the Commission determines annual funding priorities. </w:t>
      </w:r>
    </w:p>
    <w:p w14:paraId="72AA31A5" w14:textId="77777777" w:rsidR="009B3EC1" w:rsidRPr="009B3EC1" w:rsidRDefault="009B3EC1" w:rsidP="009B3EC1">
      <w:pPr>
        <w:pStyle w:val="Heading2"/>
        <w:rPr>
          <w:rFonts w:ascii="Arial Narrow" w:hAnsi="Arial Narrow"/>
          <w:noProof/>
        </w:rPr>
      </w:pPr>
      <w:r w:rsidRPr="009B3EC1">
        <w:rPr>
          <w:rFonts w:ascii="Arial Narrow" w:hAnsi="Arial Narrow"/>
          <w:noProof/>
        </w:rPr>
        <w:t>Strategic Priorities</w:t>
      </w:r>
    </w:p>
    <w:p w14:paraId="063F6AF9" w14:textId="77777777" w:rsidR="009B3EC1" w:rsidRPr="009B3EC1" w:rsidRDefault="009B3EC1" w:rsidP="009B3EC1">
      <w:pPr>
        <w:spacing w:after="0"/>
        <w:rPr>
          <w:rFonts w:ascii="Arial Narrow" w:hAnsi="Arial Narrow" w:cs="BrowalliaUPC"/>
          <w:noProof/>
        </w:rPr>
      </w:pPr>
      <w:r w:rsidRPr="009B3EC1">
        <w:rPr>
          <w:rFonts w:ascii="Arial Narrow" w:hAnsi="Arial Narrow" w:cs="BrowalliaUPC"/>
          <w:noProof/>
        </w:rPr>
        <w:t>Every four years, the Commission will engage in a comprehensive, data-driven review to update its Strategic Priorities. Data gathering may include input from:</w:t>
      </w:r>
    </w:p>
    <w:p w14:paraId="49F798D0" w14:textId="77777777" w:rsidR="009B3EC1" w:rsidRPr="009B3EC1" w:rsidRDefault="009B3EC1" w:rsidP="009B3EC1">
      <w:pPr>
        <w:pStyle w:val="ListParagraph"/>
        <w:numPr>
          <w:ilvl w:val="0"/>
          <w:numId w:val="1"/>
        </w:numPr>
        <w:rPr>
          <w:rFonts w:ascii="Arial Narrow" w:hAnsi="Arial Narrow" w:cs="BrowalliaUPC"/>
          <w:noProof/>
        </w:rPr>
      </w:pPr>
      <w:r w:rsidRPr="009B3EC1">
        <w:rPr>
          <w:rFonts w:ascii="Arial Narrow" w:hAnsi="Arial Narrow" w:cs="BrowalliaUPC"/>
          <w:noProof/>
        </w:rPr>
        <w:t>Community health needs assessments</w:t>
      </w:r>
    </w:p>
    <w:p w14:paraId="3AAE52E8" w14:textId="77777777" w:rsidR="009B3EC1" w:rsidRPr="009B3EC1" w:rsidRDefault="009B3EC1" w:rsidP="009B3EC1">
      <w:pPr>
        <w:pStyle w:val="ListParagraph"/>
        <w:numPr>
          <w:ilvl w:val="0"/>
          <w:numId w:val="1"/>
        </w:numPr>
        <w:rPr>
          <w:rFonts w:ascii="Arial Narrow" w:hAnsi="Arial Narrow" w:cs="BrowalliaUPC"/>
          <w:noProof/>
        </w:rPr>
      </w:pPr>
      <w:r w:rsidRPr="009B3EC1">
        <w:rPr>
          <w:rFonts w:ascii="Arial Narrow" w:hAnsi="Arial Narrow" w:cs="BrowalliaUPC"/>
          <w:noProof/>
        </w:rPr>
        <w:t>Sacramento strategic plans and City Department planning documents</w:t>
      </w:r>
    </w:p>
    <w:p w14:paraId="4CAF64F9" w14:textId="77777777" w:rsidR="009B3EC1" w:rsidRPr="009B3EC1" w:rsidRDefault="009B3EC1" w:rsidP="009B3EC1">
      <w:pPr>
        <w:pStyle w:val="ListParagraph"/>
        <w:numPr>
          <w:ilvl w:val="0"/>
          <w:numId w:val="1"/>
        </w:numPr>
        <w:rPr>
          <w:rFonts w:ascii="Arial Narrow" w:hAnsi="Arial Narrow" w:cs="BrowalliaUPC"/>
          <w:noProof/>
        </w:rPr>
      </w:pPr>
      <w:r w:rsidRPr="009B3EC1">
        <w:rPr>
          <w:rFonts w:ascii="Arial Narrow" w:hAnsi="Arial Narrow" w:cs="BrowalliaUPC"/>
          <w:noProof/>
        </w:rPr>
        <w:t>Presentations by City staff of various departments on issues relevant to the City</w:t>
      </w:r>
    </w:p>
    <w:p w14:paraId="7FC1845D" w14:textId="77777777" w:rsidR="009B3EC1" w:rsidRPr="009B3EC1" w:rsidRDefault="009B3EC1" w:rsidP="009B3EC1">
      <w:pPr>
        <w:pStyle w:val="ListParagraph"/>
        <w:numPr>
          <w:ilvl w:val="0"/>
          <w:numId w:val="1"/>
        </w:numPr>
        <w:rPr>
          <w:rFonts w:ascii="Arial Narrow" w:hAnsi="Arial Narrow" w:cs="BrowalliaUPC"/>
          <w:noProof/>
        </w:rPr>
      </w:pPr>
      <w:r w:rsidRPr="009B3EC1">
        <w:rPr>
          <w:rFonts w:ascii="Arial Narrow" w:hAnsi="Arial Narrow" w:cs="BrowalliaUPC"/>
          <w:noProof/>
        </w:rPr>
        <w:t>Feedback from community and stakeholder representatives</w:t>
      </w:r>
    </w:p>
    <w:p w14:paraId="3DFFD0CE" w14:textId="77777777" w:rsidR="009B3EC1" w:rsidRPr="009B3EC1" w:rsidRDefault="009B3EC1" w:rsidP="009B3EC1">
      <w:pPr>
        <w:pStyle w:val="ListParagraph"/>
        <w:numPr>
          <w:ilvl w:val="0"/>
          <w:numId w:val="1"/>
        </w:numPr>
        <w:rPr>
          <w:rFonts w:ascii="Arial Narrow" w:hAnsi="Arial Narrow" w:cs="BrowalliaUPC"/>
          <w:noProof/>
        </w:rPr>
      </w:pPr>
      <w:r w:rsidRPr="009B3EC1">
        <w:rPr>
          <w:rFonts w:ascii="Arial Narrow" w:hAnsi="Arial Narrow" w:cs="BrowalliaUPC"/>
          <w:noProof/>
        </w:rPr>
        <w:t>Feedback from recipient of Commission fund awards</w:t>
      </w:r>
    </w:p>
    <w:p w14:paraId="19FA53C4" w14:textId="629C2478" w:rsidR="009B3EC1" w:rsidRPr="007665EF" w:rsidRDefault="009B3EC1" w:rsidP="009B3EC1">
      <w:pPr>
        <w:rPr>
          <w:rFonts w:ascii="Arial Narrow" w:hAnsi="Arial Narrow" w:cs="BrowalliaUPC"/>
          <w:noProof/>
        </w:rPr>
      </w:pPr>
      <w:r w:rsidRPr="009B3EC1">
        <w:rPr>
          <w:rFonts w:ascii="Arial Narrow" w:hAnsi="Arial Narrow" w:cs="BrowalliaUPC"/>
          <w:noProof/>
        </w:rPr>
        <w:t xml:space="preserve">The Commission’s Strategic Priorities is an overarching document which ensures alignment with the Comission’s primary purpose as well as City strategic initiatives. This document provides a foundation for members of the Commission to organize and utilize their experience, expertise </w:t>
      </w:r>
      <w:r w:rsidRPr="007665EF">
        <w:rPr>
          <w:rFonts w:ascii="Arial Narrow" w:hAnsi="Arial Narrow" w:cs="BrowalliaUPC"/>
          <w:noProof/>
        </w:rPr>
        <w:t>and knowledge of the needs of Sacramento’s communities.</w:t>
      </w:r>
    </w:p>
    <w:p w14:paraId="1BA1B064" w14:textId="3F6E4259" w:rsidR="009B3EC1" w:rsidRPr="007665EF" w:rsidRDefault="009B3EC1" w:rsidP="009B3EC1">
      <w:pPr>
        <w:pStyle w:val="Heading2"/>
        <w:rPr>
          <w:rFonts w:ascii="Arial Narrow" w:hAnsi="Arial Narrow"/>
          <w:noProof/>
        </w:rPr>
      </w:pPr>
      <w:r w:rsidRPr="007665EF">
        <w:rPr>
          <w:rFonts w:ascii="Arial Narrow" w:hAnsi="Arial Narrow"/>
          <w:noProof/>
        </w:rPr>
        <w:t>Annual Funding Priorities – 202</w:t>
      </w:r>
      <w:r w:rsidR="00BA7F26" w:rsidRPr="007665EF">
        <w:rPr>
          <w:rFonts w:ascii="Arial Narrow" w:hAnsi="Arial Narrow"/>
          <w:noProof/>
        </w:rPr>
        <w:t>4</w:t>
      </w:r>
      <w:r w:rsidRPr="007665EF">
        <w:rPr>
          <w:rFonts w:ascii="Arial Narrow" w:hAnsi="Arial Narrow"/>
          <w:noProof/>
        </w:rPr>
        <w:t xml:space="preserve"> Grant Priorities*</w:t>
      </w:r>
    </w:p>
    <w:p w14:paraId="24F8A9B2" w14:textId="03F42827" w:rsidR="009B3EC1" w:rsidRPr="009B3EC1" w:rsidRDefault="009B3EC1" w:rsidP="004D2E33">
      <w:pPr>
        <w:spacing w:after="0"/>
        <w:rPr>
          <w:rFonts w:ascii="Arial Narrow" w:hAnsi="Arial Narrow" w:cs="BrowalliaUPC"/>
          <w:noProof/>
        </w:rPr>
      </w:pPr>
      <w:r w:rsidRPr="007665EF">
        <w:rPr>
          <w:rFonts w:ascii="Arial Narrow" w:hAnsi="Arial Narrow" w:cs="BrowalliaUPC"/>
          <w:noProof/>
        </w:rPr>
        <w:t>At the beginning of each calendar year, the Commission sets its Annual Funding Priorities for the following year. The Annual Funding Priorities is a living document which is consistently re-evaluated to assess grant processes and outcomes. This living document gives the Com</w:t>
      </w:r>
      <w:r w:rsidR="00BA7F26" w:rsidRPr="007665EF">
        <w:rPr>
          <w:rFonts w:ascii="Arial Narrow" w:hAnsi="Arial Narrow" w:cs="BrowalliaUPC"/>
          <w:noProof/>
        </w:rPr>
        <w:t>m</w:t>
      </w:r>
      <w:r w:rsidRPr="007665EF">
        <w:rPr>
          <w:rFonts w:ascii="Arial Narrow" w:hAnsi="Arial Narrow" w:cs="BrowalliaUPC"/>
          <w:noProof/>
        </w:rPr>
        <w:t>ission members and staff a clear roadmap to help focus energies on priority areas so that projects are implemented in a balanced way.</w:t>
      </w:r>
      <w:r w:rsidRPr="009B3EC1">
        <w:rPr>
          <w:rFonts w:ascii="Arial Narrow" w:hAnsi="Arial Narrow" w:cs="BrowalliaUPC"/>
          <w:noProof/>
        </w:rPr>
        <w:t xml:space="preserve"> </w:t>
      </w:r>
    </w:p>
    <w:p w14:paraId="7292E26F" w14:textId="77777777" w:rsidR="009B3EC1" w:rsidRPr="009B3EC1" w:rsidRDefault="009B3EC1" w:rsidP="009B3EC1">
      <w:pPr>
        <w:pStyle w:val="Heading2"/>
        <w:numPr>
          <w:ilvl w:val="0"/>
          <w:numId w:val="7"/>
        </w:numPr>
        <w:rPr>
          <w:rFonts w:ascii="Arial Narrow" w:hAnsi="Arial Narrow"/>
          <w:noProof/>
        </w:rPr>
      </w:pPr>
      <w:r w:rsidRPr="009B3EC1">
        <w:rPr>
          <w:rFonts w:ascii="Arial Narrow" w:hAnsi="Arial Narrow"/>
          <w:noProof/>
        </w:rPr>
        <w:t>Food</w:t>
      </w:r>
    </w:p>
    <w:p w14:paraId="0805B530" w14:textId="11C735E4" w:rsidR="009B3EC1" w:rsidRPr="009B3EC1" w:rsidRDefault="009B3EC1" w:rsidP="009B3EC1">
      <w:pPr>
        <w:pStyle w:val="Heading2"/>
        <w:numPr>
          <w:ilvl w:val="0"/>
          <w:numId w:val="7"/>
        </w:numPr>
        <w:rPr>
          <w:rFonts w:ascii="Arial Narrow" w:hAnsi="Arial Narrow"/>
          <w:noProof/>
        </w:rPr>
      </w:pPr>
      <w:r w:rsidRPr="009B3EC1">
        <w:rPr>
          <w:rFonts w:ascii="Arial Narrow" w:hAnsi="Arial Narrow"/>
          <w:noProof/>
        </w:rPr>
        <w:t xml:space="preserve">Housing, </w:t>
      </w:r>
      <w:r w:rsidR="004705B8">
        <w:rPr>
          <w:rFonts w:ascii="Arial Narrow" w:hAnsi="Arial Narrow"/>
          <w:noProof/>
        </w:rPr>
        <w:t>with a focus on</w:t>
      </w:r>
      <w:r w:rsidRPr="009B3EC1">
        <w:rPr>
          <w:rFonts w:ascii="Arial Narrow" w:hAnsi="Arial Narrow"/>
          <w:noProof/>
        </w:rPr>
        <w:t xml:space="preserve"> services that pair housing with wraparound services</w:t>
      </w:r>
    </w:p>
    <w:p w14:paraId="181476BC" w14:textId="05F2B31F" w:rsidR="004D2E33" w:rsidRPr="004D2E33" w:rsidRDefault="009B3EC1" w:rsidP="004D2E33">
      <w:pPr>
        <w:pStyle w:val="Heading5"/>
        <w:spacing w:after="240"/>
        <w:rPr>
          <w:rFonts w:ascii="Arial Narrow" w:hAnsi="Arial Narrow"/>
          <w:i/>
          <w:iCs/>
          <w:noProof/>
        </w:rPr>
      </w:pPr>
      <w:r w:rsidRPr="004D2E33">
        <w:rPr>
          <w:rFonts w:ascii="Arial Narrow" w:hAnsi="Arial Narrow"/>
          <w:i/>
          <w:iCs/>
          <w:noProof/>
        </w:rPr>
        <w:t xml:space="preserve">*Though the Commission identifes priority areas each year, all applicants are encouraged to submit proposals regardless of alignment with the </w:t>
      </w:r>
      <w:r w:rsidR="00495038">
        <w:rPr>
          <w:rFonts w:ascii="Arial Narrow" w:hAnsi="Arial Narrow"/>
          <w:i/>
          <w:iCs/>
          <w:noProof/>
        </w:rPr>
        <w:t>Annual F</w:t>
      </w:r>
      <w:r w:rsidRPr="004D2E33">
        <w:rPr>
          <w:rFonts w:ascii="Arial Narrow" w:hAnsi="Arial Narrow"/>
          <w:i/>
          <w:iCs/>
          <w:noProof/>
        </w:rPr>
        <w:t xml:space="preserve">unding </w:t>
      </w:r>
      <w:r w:rsidR="00495038">
        <w:rPr>
          <w:rFonts w:ascii="Arial Narrow" w:hAnsi="Arial Narrow"/>
          <w:i/>
          <w:iCs/>
          <w:noProof/>
        </w:rPr>
        <w:t>P</w:t>
      </w:r>
      <w:r w:rsidRPr="004D2E33">
        <w:rPr>
          <w:rFonts w:ascii="Arial Narrow" w:hAnsi="Arial Narrow"/>
          <w:i/>
          <w:iCs/>
          <w:noProof/>
        </w:rPr>
        <w:t>riorities. The Commission will review all eligible applications to determine if a proposal is consistent with the purpose of the Ann Land and Bertha Henschel Memorial Fund.</w:t>
      </w:r>
    </w:p>
    <w:p w14:paraId="6276631D" w14:textId="77777777" w:rsidR="009B3EC1" w:rsidRPr="009B3EC1" w:rsidRDefault="009B3EC1" w:rsidP="009B3EC1">
      <w:pPr>
        <w:pStyle w:val="Heading2"/>
        <w:rPr>
          <w:rFonts w:ascii="Arial Narrow" w:hAnsi="Arial Narrow"/>
          <w:noProof/>
        </w:rPr>
      </w:pPr>
      <w:r w:rsidRPr="009B3EC1">
        <w:rPr>
          <w:rFonts w:ascii="Arial Narrow" w:hAnsi="Arial Narrow"/>
          <w:noProof/>
        </w:rPr>
        <w:t>Target Population</w:t>
      </w:r>
    </w:p>
    <w:p w14:paraId="72C5355C" w14:textId="77777777" w:rsidR="009B3EC1" w:rsidRPr="009B3EC1" w:rsidRDefault="009B3EC1" w:rsidP="009B3EC1">
      <w:pPr>
        <w:rPr>
          <w:rFonts w:ascii="Arial Narrow" w:hAnsi="Arial Narrow" w:cs="BrowalliaUPC"/>
          <w:noProof/>
        </w:rPr>
      </w:pPr>
      <w:r w:rsidRPr="009B3EC1">
        <w:rPr>
          <w:rFonts w:ascii="Arial Narrow" w:hAnsi="Arial Narrow" w:cs="BrowalliaUPC"/>
          <w:noProof/>
        </w:rPr>
        <w:t>The Ann Land and Bertha Henschel Memorial Fund Commission directs its funds to support the basic human needs of the destitute men, women, and children of the City. Destitution is a multi-dimensional concept, with three main components: economic, social, and political powerlessness. Destitution is defined as a state of extreme poverty experienced by poor and/or vulnerable individuals and families that are not able to meet their minimum subsistence needs, lack access to the key productive assets needed to escape from poverty, and/or are dependent on public or private assistance.</w:t>
      </w:r>
      <w:r w:rsidRPr="009B3EC1">
        <w:rPr>
          <w:rStyle w:val="FootnoteReference"/>
          <w:rFonts w:ascii="Arial Narrow" w:hAnsi="Arial Narrow" w:cs="BrowalliaUPC"/>
          <w:noProof/>
        </w:rPr>
        <w:footnoteReference w:id="1"/>
      </w:r>
    </w:p>
    <w:p w14:paraId="2DA0E235" w14:textId="040424E6" w:rsidR="00DC2CFF" w:rsidRPr="009B3EC1" w:rsidRDefault="009B3EC1" w:rsidP="009B3EC1">
      <w:pPr>
        <w:rPr>
          <w:rFonts w:ascii="Arial Narrow" w:hAnsi="Arial Narrow" w:cs="BrowalliaUPC"/>
          <w:noProof/>
        </w:rPr>
      </w:pPr>
      <w:r w:rsidRPr="009B3EC1">
        <w:rPr>
          <w:rFonts w:ascii="Arial Narrow" w:hAnsi="Arial Narrow" w:cs="BrowalliaUPC"/>
          <w:noProof/>
        </w:rPr>
        <w:t>Based on Abraham Maslow’s Hierarchy of Needs</w:t>
      </w:r>
      <w:r w:rsidRPr="009B3EC1">
        <w:rPr>
          <w:rStyle w:val="FootnoteReference"/>
          <w:rFonts w:ascii="Arial Narrow" w:hAnsi="Arial Narrow" w:cs="BrowalliaUPC"/>
          <w:noProof/>
        </w:rPr>
        <w:footnoteReference w:id="2"/>
      </w:r>
      <w:r w:rsidRPr="009B3EC1">
        <w:rPr>
          <w:rFonts w:ascii="Arial Narrow" w:hAnsi="Arial Narrow" w:cs="BrowalliaUPC"/>
          <w:noProof/>
        </w:rPr>
        <w:t>, the most basic needs for physical survival are divided into two categories, physiological needs and safety  needs. Physiological needs encompass biological requirements for human survival; if these needs are not satisfied the human body cannot function optimally. Safety needs are defined as protection from the elements, security, order, law, stability, and freedom from fear. The Commission will provide support for the physiological and safety needs of destitute men, women, and children of Sacramento.</w:t>
      </w:r>
    </w:p>
    <w:sectPr w:rsidR="00DC2CFF" w:rsidRPr="009B3EC1" w:rsidSect="0015114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D1A9F" w14:textId="77777777" w:rsidR="00BE68BA" w:rsidRDefault="00BE68BA" w:rsidP="0045639D">
      <w:pPr>
        <w:spacing w:after="0" w:line="240" w:lineRule="auto"/>
      </w:pPr>
      <w:r>
        <w:separator/>
      </w:r>
    </w:p>
  </w:endnote>
  <w:endnote w:type="continuationSeparator" w:id="0">
    <w:p w14:paraId="42EB67C9" w14:textId="77777777" w:rsidR="00BE68BA" w:rsidRDefault="00BE68BA" w:rsidP="00456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owalliaUPC">
    <w:charset w:val="DE"/>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2665B" w14:textId="77777777" w:rsidR="00BE68BA" w:rsidRDefault="00BE68BA" w:rsidP="0045639D">
      <w:pPr>
        <w:spacing w:after="0" w:line="240" w:lineRule="auto"/>
      </w:pPr>
      <w:r>
        <w:separator/>
      </w:r>
    </w:p>
  </w:footnote>
  <w:footnote w:type="continuationSeparator" w:id="0">
    <w:p w14:paraId="045B8D8F" w14:textId="77777777" w:rsidR="00BE68BA" w:rsidRDefault="00BE68BA" w:rsidP="0045639D">
      <w:pPr>
        <w:spacing w:after="0" w:line="240" w:lineRule="auto"/>
      </w:pPr>
      <w:r>
        <w:continuationSeparator/>
      </w:r>
    </w:p>
  </w:footnote>
  <w:footnote w:id="1">
    <w:p w14:paraId="2CD017E8" w14:textId="77777777" w:rsidR="009B3EC1" w:rsidRDefault="009B3EC1" w:rsidP="009B3EC1">
      <w:pPr>
        <w:pStyle w:val="FootnoteText"/>
      </w:pPr>
      <w:r>
        <w:rPr>
          <w:rStyle w:val="FootnoteReference"/>
        </w:rPr>
        <w:footnoteRef/>
      </w:r>
      <w:r>
        <w:t xml:space="preserve"> </w:t>
      </w:r>
      <w:r w:rsidRPr="00493DD8">
        <w:rPr>
          <w:rFonts w:ascii="Arial Narrow" w:hAnsi="Arial Narrow"/>
        </w:rPr>
        <w:t>Devereux, Stephen. (2003). Conceptualizing Destitution.</w:t>
      </w:r>
      <w:r w:rsidRPr="00493DD8">
        <w:rPr>
          <w:rFonts w:ascii="Arial Narrow" w:hAnsi="Arial Narrow"/>
        </w:rPr>
        <w:tab/>
      </w:r>
      <w:r w:rsidRPr="00493DD8">
        <w:rPr>
          <w:rFonts w:ascii="Arial Narrow" w:hAnsi="Arial Narrow"/>
          <w:i/>
        </w:rPr>
        <w:t>Volume 216 of Working Paper, Institute of Development Studies</w:t>
      </w:r>
      <w:r w:rsidRPr="00493DD8">
        <w:rPr>
          <w:rFonts w:ascii="Arial Narrow" w:hAnsi="Arial Narrow"/>
        </w:rPr>
        <w:t>. Brighton, Sussex.</w:t>
      </w:r>
    </w:p>
  </w:footnote>
  <w:footnote w:id="2">
    <w:p w14:paraId="4631EAA9" w14:textId="77777777" w:rsidR="009B3EC1" w:rsidRPr="0045639D" w:rsidRDefault="009B3EC1" w:rsidP="009B3EC1">
      <w:pPr>
        <w:spacing w:after="0" w:line="240" w:lineRule="auto"/>
        <w:rPr>
          <w:rFonts w:ascii="Arial Narrow" w:hAnsi="Arial Narrow"/>
          <w:sz w:val="20"/>
        </w:rPr>
      </w:pPr>
      <w:r>
        <w:rPr>
          <w:rStyle w:val="FootnoteReference"/>
        </w:rPr>
        <w:footnoteRef/>
      </w:r>
      <w:r>
        <w:t xml:space="preserve"> </w:t>
      </w:r>
      <w:r w:rsidRPr="00493DD8">
        <w:rPr>
          <w:rFonts w:ascii="Arial Narrow" w:hAnsi="Arial Narrow"/>
          <w:sz w:val="20"/>
        </w:rPr>
        <w:t xml:space="preserve">Maslow, A. H. (1943). A Theory of Human Motivation. </w:t>
      </w:r>
      <w:r w:rsidRPr="00493DD8">
        <w:rPr>
          <w:rFonts w:ascii="Arial Narrow" w:hAnsi="Arial Narrow"/>
          <w:i/>
          <w:sz w:val="20"/>
        </w:rPr>
        <w:t>Psychological Review</w:t>
      </w:r>
      <w:r w:rsidRPr="00493DD8">
        <w:rPr>
          <w:rFonts w:ascii="Arial Narrow" w:hAnsi="Arial Narrow"/>
          <w:sz w:val="20"/>
        </w:rPr>
        <w:t xml:space="preserve">, 50(4), 370-396.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062"/>
    <w:multiLevelType w:val="hybridMultilevel"/>
    <w:tmpl w:val="AB42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A76A4"/>
    <w:multiLevelType w:val="hybridMultilevel"/>
    <w:tmpl w:val="4DD2E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F18FD"/>
    <w:multiLevelType w:val="hybridMultilevel"/>
    <w:tmpl w:val="89A6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304C8"/>
    <w:multiLevelType w:val="hybridMultilevel"/>
    <w:tmpl w:val="22BCD9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1B1E56"/>
    <w:multiLevelType w:val="hybridMultilevel"/>
    <w:tmpl w:val="0BDAED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94417A"/>
    <w:multiLevelType w:val="hybridMultilevel"/>
    <w:tmpl w:val="7094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7E6C2A"/>
    <w:multiLevelType w:val="hybridMultilevel"/>
    <w:tmpl w:val="CD04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5348265">
    <w:abstractNumId w:val="2"/>
  </w:num>
  <w:num w:numId="2" w16cid:durableId="899710538">
    <w:abstractNumId w:val="1"/>
  </w:num>
  <w:num w:numId="3" w16cid:durableId="1233584402">
    <w:abstractNumId w:val="0"/>
  </w:num>
  <w:num w:numId="4" w16cid:durableId="281376825">
    <w:abstractNumId w:val="6"/>
  </w:num>
  <w:num w:numId="5" w16cid:durableId="101077071">
    <w:abstractNumId w:val="5"/>
  </w:num>
  <w:num w:numId="6" w16cid:durableId="184448215">
    <w:abstractNumId w:val="4"/>
  </w:num>
  <w:num w:numId="7" w16cid:durableId="19619597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45"/>
    <w:rsid w:val="00021C04"/>
    <w:rsid w:val="00050FD3"/>
    <w:rsid w:val="000B4502"/>
    <w:rsid w:val="000E15CD"/>
    <w:rsid w:val="0011589C"/>
    <w:rsid w:val="00151145"/>
    <w:rsid w:val="00192B5B"/>
    <w:rsid w:val="002F6637"/>
    <w:rsid w:val="00302641"/>
    <w:rsid w:val="0033555D"/>
    <w:rsid w:val="00353934"/>
    <w:rsid w:val="00392FA9"/>
    <w:rsid w:val="003A0F7D"/>
    <w:rsid w:val="004436F1"/>
    <w:rsid w:val="0045639D"/>
    <w:rsid w:val="00461311"/>
    <w:rsid w:val="004705B8"/>
    <w:rsid w:val="00492DB3"/>
    <w:rsid w:val="00493DD8"/>
    <w:rsid w:val="00495038"/>
    <w:rsid w:val="004D2E33"/>
    <w:rsid w:val="005031AB"/>
    <w:rsid w:val="00515218"/>
    <w:rsid w:val="00525FB0"/>
    <w:rsid w:val="005509F2"/>
    <w:rsid w:val="005D4441"/>
    <w:rsid w:val="005E76B3"/>
    <w:rsid w:val="005E7F50"/>
    <w:rsid w:val="00620F7F"/>
    <w:rsid w:val="006B640A"/>
    <w:rsid w:val="007665EF"/>
    <w:rsid w:val="007C158B"/>
    <w:rsid w:val="00811B47"/>
    <w:rsid w:val="008355AA"/>
    <w:rsid w:val="00857ADC"/>
    <w:rsid w:val="0087038B"/>
    <w:rsid w:val="008C1C68"/>
    <w:rsid w:val="0090404E"/>
    <w:rsid w:val="009717B5"/>
    <w:rsid w:val="009B3EC1"/>
    <w:rsid w:val="009D4182"/>
    <w:rsid w:val="009E723B"/>
    <w:rsid w:val="00A1111B"/>
    <w:rsid w:val="00AD4D32"/>
    <w:rsid w:val="00B3390A"/>
    <w:rsid w:val="00B54843"/>
    <w:rsid w:val="00BA7F26"/>
    <w:rsid w:val="00BE68BA"/>
    <w:rsid w:val="00C056F4"/>
    <w:rsid w:val="00C27C0E"/>
    <w:rsid w:val="00C47E99"/>
    <w:rsid w:val="00C85B7F"/>
    <w:rsid w:val="00CA5FC3"/>
    <w:rsid w:val="00CE457C"/>
    <w:rsid w:val="00D11D55"/>
    <w:rsid w:val="00D76AB2"/>
    <w:rsid w:val="00DC2CFF"/>
    <w:rsid w:val="00DD3592"/>
    <w:rsid w:val="00ED450C"/>
    <w:rsid w:val="00EE67D3"/>
    <w:rsid w:val="00FE7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E79A"/>
  <w15:chartTrackingRefBased/>
  <w15:docId w15:val="{B247D684-B78C-4037-BF57-13069165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6AB2"/>
    <w:pPr>
      <w:keepNext/>
      <w:keepLines/>
      <w:spacing w:before="240" w:after="0"/>
      <w:outlineLvl w:val="0"/>
    </w:pPr>
    <w:rPr>
      <w:rFonts w:asciiTheme="majorHAnsi" w:eastAsiaTheme="majorEastAsia" w:hAnsiTheme="majorHAnsi" w:cstheme="majorBidi"/>
      <w:color w:val="2F5496" w:themeColor="accent1" w:themeShade="BF"/>
      <w:sz w:val="44"/>
      <w:szCs w:val="32"/>
    </w:rPr>
  </w:style>
  <w:style w:type="paragraph" w:styleId="Heading2">
    <w:name w:val="heading 2"/>
    <w:basedOn w:val="Normal"/>
    <w:next w:val="Normal"/>
    <w:link w:val="Heading2Char"/>
    <w:uiPriority w:val="9"/>
    <w:unhideWhenUsed/>
    <w:qFormat/>
    <w:rsid w:val="00D76A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4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D418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D418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9D418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4502"/>
    <w:pPr>
      <w:spacing w:after="0" w:line="240" w:lineRule="auto"/>
      <w:ind w:left="720"/>
      <w:contextualSpacing/>
    </w:pPr>
    <w:rPr>
      <w:rFonts w:asciiTheme="majorHAnsi" w:eastAsiaTheme="majorEastAsia" w:hAnsiTheme="majorHAnsi" w:cstheme="majorBidi"/>
      <w:spacing w:val="-10"/>
      <w:kern w:val="28"/>
      <w:sz w:val="96"/>
      <w:szCs w:val="56"/>
    </w:rPr>
  </w:style>
  <w:style w:type="character" w:customStyle="1" w:styleId="TitleChar">
    <w:name w:val="Title Char"/>
    <w:basedOn w:val="DefaultParagraphFont"/>
    <w:link w:val="Title"/>
    <w:uiPriority w:val="10"/>
    <w:rsid w:val="000B4502"/>
    <w:rPr>
      <w:rFonts w:asciiTheme="majorHAnsi" w:eastAsiaTheme="majorEastAsia" w:hAnsiTheme="majorHAnsi" w:cstheme="majorBidi"/>
      <w:spacing w:val="-10"/>
      <w:kern w:val="28"/>
      <w:sz w:val="96"/>
      <w:szCs w:val="56"/>
    </w:rPr>
  </w:style>
  <w:style w:type="paragraph" w:styleId="Subtitle">
    <w:name w:val="Subtitle"/>
    <w:basedOn w:val="Normal"/>
    <w:next w:val="Normal"/>
    <w:link w:val="SubtitleChar"/>
    <w:uiPriority w:val="11"/>
    <w:qFormat/>
    <w:rsid w:val="000B4502"/>
    <w:pPr>
      <w:numPr>
        <w:ilvl w:val="1"/>
      </w:numPr>
      <w:ind w:left="720"/>
    </w:pPr>
    <w:rPr>
      <w:rFonts w:eastAsiaTheme="minorEastAsia"/>
      <w:color w:val="F2F2F2" w:themeColor="background1" w:themeShade="F2"/>
      <w:spacing w:val="15"/>
      <w:sz w:val="48"/>
    </w:rPr>
  </w:style>
  <w:style w:type="character" w:customStyle="1" w:styleId="SubtitleChar">
    <w:name w:val="Subtitle Char"/>
    <w:basedOn w:val="DefaultParagraphFont"/>
    <w:link w:val="Subtitle"/>
    <w:uiPriority w:val="11"/>
    <w:rsid w:val="000B4502"/>
    <w:rPr>
      <w:rFonts w:eastAsiaTheme="minorEastAsia"/>
      <w:color w:val="F2F2F2" w:themeColor="background1" w:themeShade="F2"/>
      <w:spacing w:val="15"/>
      <w:sz w:val="48"/>
    </w:rPr>
  </w:style>
  <w:style w:type="character" w:customStyle="1" w:styleId="Heading1Char">
    <w:name w:val="Heading 1 Char"/>
    <w:basedOn w:val="DefaultParagraphFont"/>
    <w:link w:val="Heading1"/>
    <w:uiPriority w:val="9"/>
    <w:rsid w:val="00D76AB2"/>
    <w:rPr>
      <w:rFonts w:asciiTheme="majorHAnsi" w:eastAsiaTheme="majorEastAsia" w:hAnsiTheme="majorHAnsi" w:cstheme="majorBidi"/>
      <w:color w:val="2F5496" w:themeColor="accent1" w:themeShade="BF"/>
      <w:sz w:val="44"/>
      <w:szCs w:val="32"/>
    </w:rPr>
  </w:style>
  <w:style w:type="character" w:customStyle="1" w:styleId="Heading2Char">
    <w:name w:val="Heading 2 Char"/>
    <w:basedOn w:val="DefaultParagraphFont"/>
    <w:link w:val="Heading2"/>
    <w:uiPriority w:val="9"/>
    <w:rsid w:val="00D76AB2"/>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0B4502"/>
    <w:pPr>
      <w:spacing w:after="0" w:line="240" w:lineRule="auto"/>
    </w:pPr>
  </w:style>
  <w:style w:type="character" w:customStyle="1" w:styleId="Heading3Char">
    <w:name w:val="Heading 3 Char"/>
    <w:basedOn w:val="DefaultParagraphFont"/>
    <w:link w:val="Heading3"/>
    <w:uiPriority w:val="9"/>
    <w:rsid w:val="000B4502"/>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7038B"/>
    <w:pPr>
      <w:ind w:left="720"/>
      <w:contextualSpacing/>
    </w:pPr>
  </w:style>
  <w:style w:type="character" w:customStyle="1" w:styleId="Heading4Char">
    <w:name w:val="Heading 4 Char"/>
    <w:basedOn w:val="DefaultParagraphFont"/>
    <w:link w:val="Heading4"/>
    <w:uiPriority w:val="9"/>
    <w:rsid w:val="009D418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D418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9D4182"/>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4563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639D"/>
    <w:rPr>
      <w:sz w:val="20"/>
      <w:szCs w:val="20"/>
    </w:rPr>
  </w:style>
  <w:style w:type="character" w:styleId="FootnoteReference">
    <w:name w:val="footnote reference"/>
    <w:basedOn w:val="DefaultParagraphFont"/>
    <w:uiPriority w:val="99"/>
    <w:semiHidden/>
    <w:unhideWhenUsed/>
    <w:rsid w:val="004563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ishi\AppData\Roaming\Microsoft\Templates\Report%20(Origin%20the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31A22-252B-464C-9A44-AC36E22C6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(Origin theme)</Template>
  <TotalTime>1</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Oishi</dc:creator>
  <cp:keywords/>
  <dc:description/>
  <cp:lastModifiedBy>Barbara J. Smith</cp:lastModifiedBy>
  <cp:revision>3</cp:revision>
  <dcterms:created xsi:type="dcterms:W3CDTF">2023-08-05T00:41:00Z</dcterms:created>
  <dcterms:modified xsi:type="dcterms:W3CDTF">2023-08-22T19:12:00Z</dcterms:modified>
</cp:coreProperties>
</file>